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193D58">
        <w:rPr>
          <w:rFonts w:ascii="Liberation Serif" w:hAnsi="Liberation Serif"/>
          <w:sz w:val="32"/>
          <w:szCs w:val="24"/>
          <w:u w:val="single"/>
        </w:rPr>
        <w:t>07</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193D58">
        <w:rPr>
          <w:rFonts w:ascii="Liberation Serif" w:hAnsi="Liberation Serif"/>
          <w:sz w:val="32"/>
          <w:szCs w:val="24"/>
          <w:u w:val="single"/>
        </w:rPr>
        <w:t>6</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Default="00EB3892" w:rsidP="00EB3892">
      <w:pPr>
        <w:pStyle w:val="1"/>
        <w:spacing w:before="0" w:beforeAutospacing="0" w:after="0" w:afterAutospacing="0"/>
        <w:jc w:val="center"/>
        <w:rPr>
          <w:rFonts w:ascii="Liberation Serif" w:hAnsi="Liberation Serif"/>
          <w:sz w:val="24"/>
          <w:szCs w:val="24"/>
        </w:rPr>
      </w:pPr>
    </w:p>
    <w:p w:rsidR="00B12572" w:rsidRPr="00EB3892" w:rsidRDefault="00B1257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776130" w:rsidRDefault="00BA739A" w:rsidP="00F36484">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Чере</w:t>
            </w:r>
            <w:r w:rsidR="002C5240">
              <w:rPr>
                <w:rFonts w:ascii="Liberation Serif" w:hAnsi="Liberation Serif"/>
                <w:sz w:val="18"/>
                <w:szCs w:val="18"/>
              </w:rPr>
              <w:t>мховская сельская администрация</w:t>
            </w:r>
          </w:p>
          <w:p w:rsidR="00F36484" w:rsidRPr="00776130" w:rsidRDefault="00F36484"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C0192D">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235EBA">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p w:rsidR="00235EBA" w:rsidRPr="00776130" w:rsidRDefault="00235EBA" w:rsidP="00F36484">
            <w:pPr>
              <w:pStyle w:val="a5"/>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F36484">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С информацией о проведении конкурс</w:t>
            </w:r>
            <w:r w:rsidR="00F16E56" w:rsidRPr="00776130">
              <w:rPr>
                <w:rFonts w:ascii="Liberation Serif" w:hAnsi="Liberation Serif"/>
                <w:sz w:val="18"/>
                <w:szCs w:val="18"/>
              </w:rPr>
              <w:t>а</w:t>
            </w:r>
            <w:r w:rsidRPr="00776130">
              <w:rPr>
                <w:rFonts w:ascii="Liberation Serif" w:hAnsi="Liberation Serif"/>
                <w:sz w:val="18"/>
                <w:szCs w:val="18"/>
              </w:rPr>
              <w:t xml:space="preserve">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должностей»</w:t>
            </w:r>
            <w:r w:rsidR="00F16E56" w:rsidRPr="00776130">
              <w:rPr>
                <w:rFonts w:ascii="Liberation Serif" w:hAnsi="Liberation Serif"/>
                <w:sz w:val="18"/>
                <w:szCs w:val="18"/>
              </w:rPr>
              <w:t>.</w:t>
            </w:r>
            <w:r w:rsidRPr="00776130">
              <w:rPr>
                <w:rFonts w:ascii="Liberation Serif" w:hAnsi="Liberation Serif"/>
                <w:sz w:val="18"/>
                <w:szCs w:val="18"/>
              </w:rPr>
              <w:t xml:space="preserve"> </w:t>
            </w:r>
          </w:p>
        </w:tc>
      </w:tr>
      <w:tr w:rsidR="00183364" w:rsidRPr="00027B82" w:rsidTr="00193D58">
        <w:trPr>
          <w:trHeight w:val="1028"/>
        </w:trPr>
        <w:tc>
          <w:tcPr>
            <w:tcW w:w="1338" w:type="dxa"/>
            <w:tcBorders>
              <w:top w:val="single" w:sz="4" w:space="0" w:color="auto"/>
              <w:left w:val="single" w:sz="4" w:space="0" w:color="auto"/>
              <w:bottom w:val="single" w:sz="4" w:space="0" w:color="auto"/>
              <w:right w:val="single" w:sz="4" w:space="0" w:color="auto"/>
            </w:tcBorders>
          </w:tcPr>
          <w:p w:rsidR="00183364" w:rsidRPr="00776130" w:rsidRDefault="00183364" w:rsidP="00B12572">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Специалист 1 категории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193D58">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193D58">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193D58">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193D5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776130">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Pr="0007232B" w:rsidRDefault="00183364" w:rsidP="00193D58">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193D58">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193D58">
            <w:pPr>
              <w:pStyle w:val="a5"/>
              <w:jc w:val="center"/>
              <w:rPr>
                <w:rFonts w:ascii="Liberation Serif" w:hAnsi="Liberation Serif"/>
                <w:sz w:val="18"/>
                <w:szCs w:val="18"/>
              </w:rPr>
            </w:pPr>
            <w:bookmarkStart w:id="0" w:name="_GoBack"/>
            <w:bookmarkEnd w:id="0"/>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B12572">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roofErr w:type="gramEnd"/>
          </w:p>
        </w:tc>
        <w:tc>
          <w:tcPr>
            <w:tcW w:w="2552" w:type="dxa"/>
            <w:tcBorders>
              <w:top w:val="single" w:sz="4" w:space="0" w:color="auto"/>
              <w:left w:val="single" w:sz="4" w:space="0" w:color="auto"/>
              <w:bottom w:val="single" w:sz="4" w:space="0" w:color="auto"/>
              <w:right w:val="single" w:sz="4" w:space="0" w:color="auto"/>
            </w:tcBorders>
          </w:tcPr>
          <w:p w:rsidR="00183364" w:rsidRPr="00776130" w:rsidRDefault="00183364" w:rsidP="00776130">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776130">
            <w:pPr>
              <w:spacing w:line="240" w:lineRule="auto"/>
              <w:jc w:val="center"/>
              <w:rPr>
                <w:rFonts w:ascii="Liberation Serif" w:hAnsi="Liberation Serif"/>
                <w:sz w:val="18"/>
                <w:szCs w:val="18"/>
              </w:rPr>
            </w:pPr>
          </w:p>
        </w:tc>
      </w:tr>
      <w:tr w:rsidR="002C5240"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 </w:t>
            </w:r>
            <w:proofErr w:type="spellStart"/>
            <w:r>
              <w:rPr>
                <w:rFonts w:ascii="Liberation Serif" w:hAnsi="Liberation Serif"/>
                <w:sz w:val="18"/>
                <w:szCs w:val="18"/>
              </w:rPr>
              <w:t>Колчеданская</w:t>
            </w:r>
            <w:proofErr w:type="spellEnd"/>
            <w:r>
              <w:rPr>
                <w:rFonts w:ascii="Liberation Serif" w:hAnsi="Liberation Serif"/>
                <w:sz w:val="18"/>
                <w:szCs w:val="18"/>
              </w:rPr>
              <w:t xml:space="preserve"> сельская администрация</w:t>
            </w:r>
          </w:p>
          <w:p w:rsidR="002C5240" w:rsidRPr="00776130" w:rsidRDefault="002C5240"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1</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Постоянный</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C5240" w:rsidRPr="00776130" w:rsidRDefault="002C5240" w:rsidP="002C5240">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 xml:space="preserve">С информацией о проведении конкурса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должностей».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D4" w:rsidRDefault="00340BD4" w:rsidP="005F3DFE">
      <w:pPr>
        <w:spacing w:after="0" w:line="240" w:lineRule="auto"/>
      </w:pPr>
      <w:r>
        <w:separator/>
      </w:r>
    </w:p>
  </w:endnote>
  <w:endnote w:type="continuationSeparator" w:id="0">
    <w:p w:rsidR="00340BD4" w:rsidRDefault="00340BD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D4" w:rsidRDefault="00340BD4" w:rsidP="005F3DFE">
      <w:pPr>
        <w:spacing w:after="0" w:line="240" w:lineRule="auto"/>
      </w:pPr>
      <w:r>
        <w:separator/>
      </w:r>
    </w:p>
  </w:footnote>
  <w:footnote w:type="continuationSeparator" w:id="0">
    <w:p w:rsidR="00340BD4" w:rsidRDefault="00340BD4"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93D58"/>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0BD4"/>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921C7"/>
    <w:rsid w:val="006A0716"/>
    <w:rsid w:val="006A2A1A"/>
    <w:rsid w:val="006C3F2E"/>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635F7"/>
    <w:rsid w:val="00C707EB"/>
    <w:rsid w:val="00C90282"/>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889</Words>
  <Characters>5072</Characters>
  <Application>Microsoft Office Word</Application>
  <DocSecurity>2</DocSecurity>
  <Lines>42</Lines>
  <Paragraphs>11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55</cp:revision>
  <cp:lastPrinted>2021-04-07T08:59:00Z</cp:lastPrinted>
  <dcterms:created xsi:type="dcterms:W3CDTF">2019-05-24T03:57:00Z</dcterms:created>
  <dcterms:modified xsi:type="dcterms:W3CDTF">2021-06-07T05:31:00Z</dcterms:modified>
</cp:coreProperties>
</file>