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B19DA" w:rsidRDefault="00EB19DA">
      <w:pPr>
        <w:spacing w:line="150" w:lineRule="exact"/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90"/>
      </w:tblGrid>
      <w:tr w:rsidR="00EB19DA">
        <w:trPr>
          <w:trHeight w:val="37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EB19DA" w:rsidRDefault="00255B13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EB19DA">
        <w:trPr>
          <w:trHeight w:val="37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EB19DA" w:rsidRDefault="00255B13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EB19DA">
        <w:trPr>
          <w:trHeight w:val="99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EB19DA" w:rsidRDefault="00255B13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«Развитие и повышение эффективности деятельности органов местного самоуправления Каменского городского округа до 2027 года»</w:t>
            </w:r>
          </w:p>
        </w:tc>
      </w:tr>
    </w:tbl>
    <w:p w:rsidR="00EB19DA" w:rsidRDefault="00EB19DA">
      <w:pPr>
        <w:spacing w:line="76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50"/>
      </w:tblGrid>
      <w:tr w:rsidR="00EB19DA">
        <w:trPr>
          <w:trHeight w:val="133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Заместитель Главы  Администрации по вопросам организации управления и социальной политике Балакина Е.Г.</w:t>
            </w:r>
          </w:p>
        </w:tc>
      </w:tr>
      <w:tr w:rsidR="00EB19DA">
        <w:trPr>
          <w:trHeight w:val="100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2021 -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2027 годы</w:t>
            </w:r>
          </w:p>
        </w:tc>
      </w:tr>
      <w:tr w:rsidR="00EB19DA">
        <w:trPr>
          <w:trHeight w:val="165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 xml:space="preserve">Цель 1. Формирование высококвалифицированного </w:t>
            </w:r>
            <w:r>
              <w:rPr>
                <w:rStyle w:val="CharacterStyle2"/>
                <w:rFonts w:eastAsia="Calibri"/>
              </w:rPr>
              <w:t>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</w:tr>
      <w:tr w:rsidR="00EB19DA">
        <w:trPr>
          <w:trHeight w:val="165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1.1. Формирование непрерывного профессионального образования муниципальных служащих, профессиональное развитие муниципальных </w:t>
            </w:r>
            <w:r>
              <w:rPr>
                <w:rStyle w:val="CharacterStyle5"/>
                <w:rFonts w:eastAsia="Calibri"/>
              </w:rPr>
              <w:t>служащих</w:t>
            </w:r>
          </w:p>
        </w:tc>
      </w:tr>
      <w:tr w:rsidR="00EB19DA">
        <w:trPr>
          <w:trHeight w:val="99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</w:tr>
      <w:tr w:rsidR="00EB19DA">
        <w:trPr>
          <w:trHeight w:val="132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</w:tr>
      <w:tr w:rsidR="00EB19DA">
        <w:trPr>
          <w:trHeight w:val="99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</w:tr>
      <w:tr w:rsidR="00EB19DA">
        <w:trPr>
          <w:trHeight w:val="100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2.2. </w:t>
            </w:r>
            <w:r>
              <w:rPr>
                <w:rStyle w:val="CharacterStyle5"/>
                <w:rFonts w:eastAsia="Calibri"/>
              </w:rPr>
              <w:t>Повышение эффективности системы противодействия коррупции в сфере муниципальной службы</w:t>
            </w:r>
          </w:p>
        </w:tc>
      </w:tr>
    </w:tbl>
    <w:p w:rsidR="00EB19DA" w:rsidRDefault="00EB19DA">
      <w:pPr>
        <w:sectPr w:rsidR="00EB19DA">
          <w:headerReference w:type="default" r:id="rId7"/>
          <w:footerReference w:type="default" r:id="rId8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EB19DA">
        <w:trPr>
          <w:trHeight w:val="100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3. Обеспечение муниципальных служащих удостоверениями установленной формы</w:t>
            </w:r>
          </w:p>
        </w:tc>
      </w:tr>
      <w:tr w:rsidR="00EB19DA">
        <w:trPr>
          <w:trHeight w:val="99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Обеспечение муниципальных служащих удостоверениями установленной формы</w:t>
            </w:r>
          </w:p>
        </w:tc>
      </w:tr>
      <w:tr w:rsidR="00EB19DA">
        <w:trPr>
          <w:trHeight w:val="67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4. Цифровое муниципальное управление</w:t>
            </w:r>
          </w:p>
        </w:tc>
      </w:tr>
      <w:tr w:rsidR="00EB19DA">
        <w:trPr>
          <w:trHeight w:val="163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4.1. Доля взаимодействия граждан и коммерческих организаций с муниципальными органами и бюджетными учреждениями, </w:t>
            </w:r>
            <w:r>
              <w:rPr>
                <w:rStyle w:val="CharacterStyle5"/>
                <w:rFonts w:eastAsia="Calibri"/>
              </w:rPr>
              <w:t>осуществляемого в электронном виде</w:t>
            </w:r>
          </w:p>
        </w:tc>
      </w:tr>
      <w:tr w:rsidR="00EB19DA">
        <w:trPr>
          <w:trHeight w:val="67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4.2. Предоставление налоговых льгот отдельным категориям налогоплательщиков</w:t>
            </w: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5. Информационная безопасность</w:t>
            </w:r>
          </w:p>
        </w:tc>
      </w:tr>
      <w:tr w:rsidR="00EB19DA">
        <w:trPr>
          <w:trHeight w:val="132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5.1. Обеспечение информационной безопасности путем использования отечественных </w:t>
            </w:r>
            <w:r>
              <w:rPr>
                <w:rStyle w:val="CharacterStyle5"/>
                <w:rFonts w:eastAsia="Calibri"/>
              </w:rPr>
              <w:t>аппаратных средств и программного обеспечения</w:t>
            </w:r>
          </w:p>
        </w:tc>
      </w:tr>
      <w:tr w:rsidR="00EB19DA">
        <w:trPr>
          <w:trHeight w:val="133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Развитие муниципальной службы и противодействие коррупции в Каменском городском округе на 2021-2027 годы</w:t>
            </w:r>
          </w:p>
        </w:tc>
      </w:tr>
      <w:tr w:rsidR="00EB19DA">
        <w:trPr>
          <w:trHeight w:val="67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2. Развитие информации и средств </w:t>
            </w:r>
            <w:r>
              <w:rPr>
                <w:rStyle w:val="CharacterStyle5"/>
                <w:rFonts w:eastAsia="Calibri"/>
              </w:rPr>
              <w:t>массовой информации в Каменском городском округе</w:t>
            </w:r>
          </w:p>
        </w:tc>
      </w:tr>
      <w:tr w:rsidR="00EB19DA">
        <w:trPr>
          <w:trHeight w:val="168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 xml:space="preserve">1. Доля муниципальных служащих, прошедших обучение по программам дополнительного профессионального образования от общего количества </w:t>
            </w:r>
            <w:r>
              <w:rPr>
                <w:rStyle w:val="CharacterStyle8"/>
                <w:rFonts w:eastAsia="Calibri"/>
              </w:rPr>
              <w:t>муниципальных служащих</w:t>
            </w:r>
          </w:p>
        </w:tc>
      </w:tr>
      <w:tr w:rsidR="00EB19DA">
        <w:trPr>
          <w:trHeight w:val="135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</w:tr>
    </w:tbl>
    <w:p w:rsidR="00EB19DA" w:rsidRDefault="00EB19DA">
      <w:pPr>
        <w:sectPr w:rsidR="00EB19DA">
          <w:headerReference w:type="default" r:id="rId9"/>
          <w:footerReference w:type="default" r:id="rId10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EB19DA">
        <w:trPr>
          <w:trHeight w:val="265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3. Доля лиц, включенных в состав кадрового резерва для замещения вакантных должностей </w:t>
            </w:r>
            <w:r>
              <w:rPr>
                <w:rStyle w:val="CharacterStyle10"/>
                <w:rFonts w:eastAsia="Calibri"/>
              </w:rPr>
              <w:t>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</w:tr>
      <w:tr w:rsidR="00EB19DA">
        <w:trPr>
          <w:trHeight w:val="102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4. Доля муниципальных служащих, прошедших диспансеризацию, от общего количества </w:t>
            </w:r>
            <w:r>
              <w:rPr>
                <w:rStyle w:val="CharacterStyle10"/>
                <w:rFonts w:eastAsia="Calibri"/>
              </w:rPr>
              <w:t>муниципальных служащих</w:t>
            </w:r>
          </w:p>
        </w:tc>
      </w:tr>
      <w:tr w:rsidR="00EB19DA">
        <w:trPr>
          <w:trHeight w:val="264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</w:t>
            </w:r>
            <w:r>
              <w:rPr>
                <w:rStyle w:val="CharacterStyle10"/>
                <w:rFonts w:eastAsia="Calibri"/>
              </w:rPr>
              <w:t>иводействии коррупции</w:t>
            </w:r>
          </w:p>
        </w:tc>
      </w:tr>
      <w:tr w:rsidR="00EB19DA">
        <w:trPr>
          <w:trHeight w:val="201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6. 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</w:tr>
      <w:tr w:rsidR="00EB19DA">
        <w:trPr>
          <w:trHeight w:val="166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7. Количество муниципальных </w:t>
            </w:r>
            <w:r>
              <w:rPr>
                <w:rStyle w:val="CharacterStyle10"/>
                <w:rFonts w:eastAsia="Calibri"/>
              </w:rPr>
              <w:t>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</w:tr>
      <w:tr w:rsidR="00EB19DA">
        <w:trPr>
          <w:trHeight w:val="69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8. Количество выданных служебных удостоверений</w:t>
            </w:r>
          </w:p>
        </w:tc>
      </w:tr>
      <w:tr w:rsidR="00EB19DA">
        <w:trPr>
          <w:trHeight w:val="199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9. Доля взаимодействия граждан и коммерческих организаций с муниципальными </w:t>
            </w:r>
            <w:r>
              <w:rPr>
                <w:rStyle w:val="CharacterStyle10"/>
                <w:rFonts w:eastAsia="Calibri"/>
              </w:rPr>
              <w:t>органами и бюджетными учреждениями, осуществляемого в электронном виде от общего количества обращений</w:t>
            </w:r>
          </w:p>
        </w:tc>
      </w:tr>
    </w:tbl>
    <w:p w:rsidR="00EB19DA" w:rsidRDefault="00EB19DA">
      <w:pPr>
        <w:sectPr w:rsidR="00EB19DA">
          <w:headerReference w:type="default" r:id="rId11"/>
          <w:footerReference w:type="default" r:id="rId12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EB19DA">
        <w:trPr>
          <w:trHeight w:val="265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10. 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</w:t>
            </w:r>
            <w:r>
              <w:rPr>
                <w:rStyle w:val="CharacterStyle10"/>
                <w:rFonts w:eastAsia="Calibri"/>
              </w:rPr>
              <w:t>ском режиме), проактивно)</w:t>
            </w:r>
          </w:p>
        </w:tc>
      </w:tr>
      <w:tr w:rsidR="00EB19DA">
        <w:trPr>
          <w:trHeight w:val="102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11. Доля отказов при предоставлении приоритетных муниципальных услуг и сервисов</w:t>
            </w:r>
          </w:p>
        </w:tc>
      </w:tr>
      <w:tr w:rsidR="00EB19DA">
        <w:trPr>
          <w:trHeight w:val="199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12. 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>
              <w:rPr>
                <w:rStyle w:val="CharacterStyle10"/>
                <w:rFonts w:eastAsia="Calibri"/>
              </w:rPr>
              <w:t>бюджетных учреждений</w:t>
            </w:r>
          </w:p>
        </w:tc>
      </w:tr>
      <w:tr w:rsidR="00EB19DA">
        <w:trPr>
          <w:trHeight w:val="166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13. Удельный вес налогоплательщиков, получивших налоговые льготы в общей численности налогоплательщиков, имеющих право на соответствующие меры социальной поддержки</w:t>
            </w:r>
          </w:p>
        </w:tc>
      </w:tr>
      <w:tr w:rsidR="00EB19DA">
        <w:trPr>
          <w:trHeight w:val="133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14. Стоимостная доля закупаемого и (или) арендуемого </w:t>
            </w:r>
            <w:r>
              <w:rPr>
                <w:rStyle w:val="CharacterStyle10"/>
                <w:rFonts w:eastAsia="Calibri"/>
              </w:rPr>
              <w:t>муниципальными органами исполнительной власти отечественного программного обеспечения</w:t>
            </w: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Обьем финансирования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22 902,3 тыс. рублей</w:t>
            </w: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  <w:tr w:rsidR="00EB19DA">
        <w:trPr>
          <w:trHeight w:val="229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proofErr w:type="gramStart"/>
            <w:r>
              <w:rPr>
                <w:rStyle w:val="CharacterStyle5"/>
                <w:rFonts w:eastAsia="Calibri"/>
              </w:rPr>
              <w:t xml:space="preserve">2021 год - 2 166,9 тыс. рублей, </w:t>
            </w:r>
            <w:r>
              <w:rPr>
                <w:rStyle w:val="CharacterStyle5"/>
                <w:rFonts w:eastAsia="Calibri"/>
              </w:rPr>
              <w:br/>
            </w:r>
            <w:r>
              <w:rPr>
                <w:rStyle w:val="CharacterStyle5"/>
                <w:rFonts w:eastAsia="Calibri"/>
              </w:rPr>
              <w:t xml:space="preserve">2022 год - 2 597,1 тыс. рублей, </w:t>
            </w:r>
            <w:r>
              <w:rPr>
                <w:rStyle w:val="CharacterStyle5"/>
                <w:rFonts w:eastAsia="Calibri"/>
              </w:rPr>
              <w:br/>
              <w:t xml:space="preserve">2023 год - 2 951,8 тыс. рублей, </w:t>
            </w:r>
            <w:r>
              <w:rPr>
                <w:rStyle w:val="CharacterStyle5"/>
                <w:rFonts w:eastAsia="Calibri"/>
              </w:rPr>
              <w:br/>
              <w:t xml:space="preserve">2024 год - 6 143,0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- 3 014,5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- 3 014,5 тыс. рублей, </w:t>
            </w:r>
            <w:r>
              <w:rPr>
                <w:rStyle w:val="CharacterStyle5"/>
                <w:rFonts w:eastAsia="Calibri"/>
              </w:rPr>
              <w:br/>
              <w:t>2027 год - 3 014,5 тыс. рублей</w:t>
            </w:r>
            <w:proofErr w:type="gramEnd"/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22 902,3 тыс. рублей</w:t>
            </w:r>
          </w:p>
        </w:tc>
      </w:tr>
    </w:tbl>
    <w:p w:rsidR="00EB19DA" w:rsidRDefault="00EB19DA">
      <w:pPr>
        <w:sectPr w:rsidR="00EB19DA">
          <w:headerReference w:type="default" r:id="rId13"/>
          <w:footerReference w:type="default" r:id="rId14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EB19DA">
        <w:trPr>
          <w:trHeight w:val="2325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1"/>
              <w:rPr>
                <w:rStyle w:val="CharacterStyle11"/>
                <w:rFonts w:eastAsia="Calibri"/>
              </w:rPr>
            </w:pPr>
            <w:proofErr w:type="gramStart"/>
            <w:r>
              <w:rPr>
                <w:rStyle w:val="CharacterStyle11"/>
                <w:rFonts w:eastAsia="Calibri"/>
              </w:rPr>
              <w:t xml:space="preserve">2021 год - 2 166,9 тыс. рублей, </w:t>
            </w:r>
            <w:r>
              <w:rPr>
                <w:rStyle w:val="CharacterStyle11"/>
                <w:rFonts w:eastAsia="Calibri"/>
              </w:rPr>
              <w:br/>
              <w:t xml:space="preserve">2022 год - 2 597,1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2023 год - 2 951,8 тыс. рублей, </w:t>
            </w:r>
            <w:r>
              <w:rPr>
                <w:rStyle w:val="CharacterStyle11"/>
                <w:rFonts w:eastAsia="Calibri"/>
              </w:rPr>
              <w:br/>
              <w:t xml:space="preserve">2024 год - 6 143,0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- 3 014,5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- 3 014,5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- 3 014,5 тыс. </w:t>
            </w:r>
            <w:r>
              <w:rPr>
                <w:rStyle w:val="CharacterStyle11"/>
                <w:rFonts w:eastAsia="Calibri"/>
              </w:rPr>
              <w:t>рублей</w:t>
            </w:r>
            <w:proofErr w:type="gramEnd"/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www:kamensk-adm.ru</w:t>
            </w: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EB19DA">
        <w:trPr>
          <w:trHeight w:val="360"/>
        </w:trPr>
        <w:tc>
          <w:tcPr>
            <w:tcW w:w="285" w:type="dxa"/>
          </w:tcPr>
          <w:p w:rsidR="00EB19DA" w:rsidRDefault="00EB19D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255B13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5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19DA" w:rsidRDefault="00EB19DA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</w:tbl>
    <w:p w:rsidR="00EB19DA" w:rsidRDefault="00EB19DA">
      <w:pPr>
        <w:spacing w:line="15" w:lineRule="exact"/>
      </w:pPr>
    </w:p>
    <w:sectPr w:rsidR="00EB19DA">
      <w:headerReference w:type="default" r:id="rId15"/>
      <w:footerReference w:type="default" r:id="rId16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B13" w:rsidRDefault="00255B13">
      <w:r>
        <w:separator/>
      </w:r>
    </w:p>
  </w:endnote>
  <w:endnote w:type="continuationSeparator" w:id="0">
    <w:p w:rsidR="00255B13" w:rsidRDefault="0025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B13" w:rsidRDefault="00255B13">
      <w:r>
        <w:separator/>
      </w:r>
    </w:p>
  </w:footnote>
  <w:footnote w:type="continuationSeparator" w:id="0">
    <w:p w:rsidR="00255B13" w:rsidRDefault="00255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DA" w:rsidRDefault="00EB19DA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DA"/>
    <w:rsid w:val="00255B13"/>
    <w:rsid w:val="002D4648"/>
    <w:rsid w:val="00EB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</dc:creator>
  <cp:lastModifiedBy>Пользователь</cp:lastModifiedBy>
  <cp:revision>2</cp:revision>
  <dcterms:created xsi:type="dcterms:W3CDTF">2024-12-04T04:22:00Z</dcterms:created>
  <dcterms:modified xsi:type="dcterms:W3CDTF">2024-12-04T04:22:00Z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